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200"/>
        <w:jc w:val="center"/>
      </w:pPr>
      <w:r>
        <w:rPr>
          <w:rFonts w:ascii="Arial" w:cs="Arial" w:eastAsia="Arial" w:hAnsi="Arial"/>
          <w:b/>
          <w:bCs/>
          <w:color w:val="2E75B6"/>
          <w:sz w:val="56"/>
          <w:szCs w:val="56"/>
        </w:rPr>
        <w:t xml:space="preserve">Friedensfüße</w:t>
      </w:r>
    </w:p>
    <w:p>
      <w:pPr>
        <w:spacing w:after="300" w:before="0"/>
        <w:jc w:val="center"/>
      </w:pPr>
      <w:r>
        <w:rPr>
          <w:rFonts w:ascii="Arial" w:cs="Arial" w:eastAsia="Arial" w:hAnsi="Arial"/>
          <w:color w:val="666666"/>
          <w:sz w:val="28"/>
          <w:szCs w:val="28"/>
        </w:rPr>
        <w:t xml:space="preserve">Konfliktlösungsmethode für Schulen</w:t>
      </w:r>
    </w:p>
    <w:p>
      <w:pPr>
        <w:pBdr>
          <w:bottom w:val="single" w:color="2E75B6" w:sz="8" w:space="1"/>
        </w:pBdr>
        <w:spacing w:after="240" w:before="0"/>
      </w:pPr>
      <w:r>
        <w:t xml:space="preserve"/>
      </w:r>
    </w:p>
    <w:p>
      <w:pPr>
        <w:pStyle w:val="Heading1"/>
        <w:spacing w:after="180" w:before="360"/>
      </w:pPr>
      <w:r>
        <w:rPr>
          <w:rFonts w:ascii="Arial" w:cs="Arial" w:eastAsia="Arial" w:hAnsi="Arial"/>
          <w:b/>
          <w:bCs/>
          <w:color w:val="2E75B6"/>
          <w:sz w:val="32"/>
          <w:szCs w:val="32"/>
        </w:rPr>
        <w:t xml:space="preserve">Was sind die Friedensfüße?</w:t>
      </w:r>
    </w:p>
    <w:p>
      <w:pPr>
        <w:spacing w:after="80" w:before="60"/>
      </w:pPr>
      <w:r>
        <w:rPr>
          <w:rFonts w:ascii="Arial" w:cs="Arial" w:eastAsia="Arial" w:hAnsi="Arial"/>
          <w:sz w:val="22"/>
          <w:szCs w:val="22"/>
        </w:rPr>
        <w:t xml:space="preserve">Die Friedensfüße (auch: Friedensbrücke) sind eine strukturierte Konfliktlösungsmethode, die speziell für Kinder und Jugendliche in der Schule entwickelt wurde. Nach einer Phase des gemeinsamen Einübens können Schülerinnen und Schüler Konflikte selbstständig – das heißt ohne Unterstützung einer Erwachsenen Person – lösen.</w:t>
      </w:r>
    </w:p>
    <w:p>
      <w:pPr>
        <w:spacing w:after="80" w:before="60"/>
      </w:pPr>
      <w:r>
        <w:rPr>
          <w:rFonts w:ascii="Arial" w:cs="Arial" w:eastAsia="Arial" w:hAnsi="Arial"/>
          <w:sz w:val="22"/>
          <w:szCs w:val="22"/>
        </w:rPr>
        <w:t xml:space="preserve">Das zentrale Ziel ist es, alle am Konflikt beteiligten Personen mit ihren individuellen Bedürfnissen wahrzunehmen und respektvoll zu behandeln. Statt die Schuldfrage in den Vordergrund zu stellen, liegt der Fokus auf dem gegenseitigen Verständnis und einer gemeinsam erarbeiteten Lösung.</w:t>
      </w:r>
    </w:p>
    <w:p>
      <w:pPr>
        <w:spacing w:after="80" w:before="60"/>
      </w:pPr>
      <w:r>
        <w:rPr>
          <w:rFonts w:ascii="Arial" w:cs="Arial" w:eastAsia="Arial" w:hAnsi="Arial"/>
          <w:sz w:val="22"/>
          <w:szCs w:val="22"/>
        </w:rPr>
        <w:t xml:space="preserve">Das Besondere an der Methode: Die Kinder gehen dabei physisch Schritt für Schritt aufeinander zu – symbolisch und buchstäblich. Jeder Schritt steht für eine konkrete Gesprächsphase, in der Ich-Botschaften formuliert werden.</w:t>
      </w:r>
    </w:p>
    <w:p>
      <w:pPr>
        <w:spacing w:after="60" w:before="60"/>
      </w:pPr>
      <w:r>
        <w:t xml:space="preserve"/>
      </w:r>
    </w:p>
    <w:p>
      <w:pPr>
        <w:pStyle w:val="Heading1"/>
        <w:spacing w:after="180" w:before="360"/>
      </w:pPr>
      <w:r>
        <w:rPr>
          <w:rFonts w:ascii="Arial" w:cs="Arial" w:eastAsia="Arial" w:hAnsi="Arial"/>
          <w:b/>
          <w:bCs/>
          <w:color w:val="2E75B6"/>
          <w:sz w:val="32"/>
          <w:szCs w:val="32"/>
        </w:rPr>
        <w:t xml:space="preserve">Die fünf Schritte im Überblick</w:t>
      </w:r>
    </w:p>
    <w:p>
      <w:pPr>
        <w:spacing w:after="80" w:before="60"/>
      </w:pPr>
      <w:r>
        <w:rPr>
          <w:rFonts w:ascii="Arial" w:cs="Arial" w:eastAsia="Arial" w:hAnsi="Arial"/>
          <w:sz w:val="22"/>
          <w:szCs w:val="22"/>
        </w:rPr>
        <w:t xml:space="preserve">Die Methode folgt einem klar strukturierten Ablauf mit vier Pflichtschritten und einem optionalen fünften Schritt:</w:t>
      </w:r>
    </w:p>
    <w:p>
      <w:pPr>
        <w:spacing w:after="6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CellMar>
          <w:top w:type="dxa" w:w="60"/>
          <w:bottom w:type="dxa" w:w="60"/>
        </w:tblCellMar>
      </w:tblPr>
      <w:tblGrid>
        <w:gridCol w:w="1200"/>
        <w:gridCol w:w="8160"/>
      </w:tblGrid>
      <w:tr>
        <w:tc>
          <w:tcPr>
            <w:tcW w:type="dxa" w:w="1200"/>
            <w:tcBorders>
              <w:top w:val="single" w:color="CCCCCC" w:sz="1"/>
              <w:left w:val="single" w:color="CCCCCC" w:sz="1"/>
              <w:bottom w:val="single" w:color="CCCCCC" w:sz="1"/>
              <w:right w:val="single" w:color="CCCCCC" w:sz="1"/>
            </w:tcBorders>
            <w:shd w:fill="2E75B6" w:val="clear"/>
            <w:tcMar>
              <w:top w:type="dxa" w:w="120"/>
              <w:left w:type="dxa" w:w="120"/>
              <w:bottom w:type="dxa" w:w="120"/>
              <w:right w:type="dxa" w:w="120"/>
            </w:tcMar>
            <w:vAlign w:val="center"/>
          </w:tcPr>
          <w:p>
            <w:pPr>
              <w:jc w:val="center"/>
            </w:pPr>
            <w:r>
              <w:rPr>
                <w:rFonts w:ascii="Arial" w:cs="Arial" w:eastAsia="Arial" w:hAnsi="Arial"/>
                <w:b/>
                <w:bCs/>
                <w:color w:val="FFFFFF"/>
                <w:sz w:val="22"/>
                <w:szCs w:val="22"/>
              </w:rPr>
              <w:t xml:space="preserve">Schritt 1</w:t>
            </w:r>
          </w:p>
        </w:tc>
        <w:tc>
          <w:tcPr>
            <w:tcW w:type="dxa" w:w="8160"/>
            <w:tcBorders>
              <w:top w:val="single" w:color="CCCCCC" w:sz="1"/>
              <w:left w:val="single" w:color="CCCCCC" w:sz="1"/>
              <w:bottom w:val="single" w:color="CCCCCC" w:sz="1"/>
              <w:right w:val="single" w:color="CCCCCC" w:sz="1"/>
            </w:tcBorders>
            <w:shd w:fill="D6E8F5" w:val="clear"/>
            <w:tcMar>
              <w:top w:type="dxa" w:w="120"/>
              <w:left w:type="dxa" w:w="200"/>
              <w:bottom w:type="dxa" w:w="120"/>
              <w:right w:type="dxa" w:w="120"/>
            </w:tcMar>
          </w:tcPr>
          <w:p>
            <w:r>
              <w:rPr>
                <w:rFonts w:ascii="Arial" w:cs="Arial" w:eastAsia="Arial" w:hAnsi="Arial"/>
                <w:b/>
                <w:bCs/>
                <w:sz w:val="24"/>
                <w:szCs w:val="24"/>
              </w:rPr>
              <w:t xml:space="preserve">Was ist passiert?</w:t>
            </w:r>
          </w:p>
          <w:p>
            <w:pPr>
              <w:spacing w:before="40"/>
            </w:pPr>
            <w:r>
              <w:rPr>
                <w:rFonts w:ascii="Arial" w:cs="Arial" w:eastAsia="Arial" w:hAnsi="Arial"/>
                <w:i/>
                <w:iCs/>
                <w:color w:val="555555"/>
                <w:sz w:val="20"/>
                <w:szCs w:val="20"/>
              </w:rPr>
              <w:t xml:space="preserve">Beide Seiten schildern den Vorfall aus ihrer eigenen Perspektive – sachlich und ohne Unterbrechung.</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CellMar>
          <w:top w:type="dxa" w:w="60"/>
          <w:bottom w:type="dxa" w:w="60"/>
        </w:tblCellMar>
      </w:tblPr>
      <w:tblGrid>
        <w:gridCol w:w="1200"/>
        <w:gridCol w:w="8160"/>
      </w:tblGrid>
      <w:tr>
        <w:tc>
          <w:tcPr>
            <w:tcW w:type="dxa" w:w="1200"/>
            <w:tcBorders>
              <w:top w:val="single" w:color="CCCCCC" w:sz="1"/>
              <w:left w:val="single" w:color="CCCCCC" w:sz="1"/>
              <w:bottom w:val="single" w:color="CCCCCC" w:sz="1"/>
              <w:right w:val="single" w:color="CCCCCC" w:sz="1"/>
            </w:tcBorders>
            <w:shd w:fill="2E75B6" w:val="clear"/>
            <w:tcMar>
              <w:top w:type="dxa" w:w="120"/>
              <w:left w:type="dxa" w:w="120"/>
              <w:bottom w:type="dxa" w:w="120"/>
              <w:right w:type="dxa" w:w="120"/>
            </w:tcMar>
            <w:vAlign w:val="center"/>
          </w:tcPr>
          <w:p>
            <w:pPr>
              <w:jc w:val="center"/>
            </w:pPr>
            <w:r>
              <w:rPr>
                <w:rFonts w:ascii="Arial" w:cs="Arial" w:eastAsia="Arial" w:hAnsi="Arial"/>
                <w:b/>
                <w:bCs/>
                <w:color w:val="FFFFFF"/>
                <w:sz w:val="22"/>
                <w:szCs w:val="22"/>
              </w:rPr>
              <w:t xml:space="preserve">Schritt 2</w:t>
            </w:r>
          </w:p>
        </w:tc>
        <w:tc>
          <w:tcPr>
            <w:tcW w:type="dxa" w:w="8160"/>
            <w:tcBorders>
              <w:top w:val="single" w:color="CCCCCC" w:sz="1"/>
              <w:left w:val="single" w:color="CCCCCC" w:sz="1"/>
              <w:bottom w:val="single" w:color="CCCCCC" w:sz="1"/>
              <w:right w:val="single" w:color="CCCCCC" w:sz="1"/>
            </w:tcBorders>
            <w:shd w:fill="E2F0D9" w:val="clear"/>
            <w:tcMar>
              <w:top w:type="dxa" w:w="120"/>
              <w:left w:type="dxa" w:w="200"/>
              <w:bottom w:type="dxa" w:w="120"/>
              <w:right w:type="dxa" w:w="120"/>
            </w:tcMar>
          </w:tcPr>
          <w:p>
            <w:r>
              <w:rPr>
                <w:rFonts w:ascii="Arial" w:cs="Arial" w:eastAsia="Arial" w:hAnsi="Arial"/>
                <w:b/>
                <w:bCs/>
                <w:sz w:val="24"/>
                <w:szCs w:val="24"/>
              </w:rPr>
              <w:t xml:space="preserve">Wie fühle ich mich?</w:t>
            </w:r>
          </w:p>
          <w:p>
            <w:pPr>
              <w:spacing w:before="40"/>
            </w:pPr>
            <w:r>
              <w:rPr>
                <w:rFonts w:ascii="Arial" w:cs="Arial" w:eastAsia="Arial" w:hAnsi="Arial"/>
                <w:i/>
                <w:iCs/>
                <w:color w:val="555555"/>
                <w:sz w:val="20"/>
                <w:szCs w:val="20"/>
              </w:rPr>
              <w:t xml:space="preserve">Jede Person beschreibt ihre Gefühle mithilfe von Ich-Botschaften (z. B. "Ich war traurig, weil ...").</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CellMar>
          <w:top w:type="dxa" w:w="60"/>
          <w:bottom w:type="dxa" w:w="60"/>
        </w:tblCellMar>
      </w:tblPr>
      <w:tblGrid>
        <w:gridCol w:w="1200"/>
        <w:gridCol w:w="8160"/>
      </w:tblGrid>
      <w:tr>
        <w:tc>
          <w:tcPr>
            <w:tcW w:type="dxa" w:w="1200"/>
            <w:tcBorders>
              <w:top w:val="single" w:color="CCCCCC" w:sz="1"/>
              <w:left w:val="single" w:color="CCCCCC" w:sz="1"/>
              <w:bottom w:val="single" w:color="CCCCCC" w:sz="1"/>
              <w:right w:val="single" w:color="CCCCCC" w:sz="1"/>
            </w:tcBorders>
            <w:shd w:fill="2E75B6" w:val="clear"/>
            <w:tcMar>
              <w:top w:type="dxa" w:w="120"/>
              <w:left w:type="dxa" w:w="120"/>
              <w:bottom w:type="dxa" w:w="120"/>
              <w:right w:type="dxa" w:w="120"/>
            </w:tcMar>
            <w:vAlign w:val="center"/>
          </w:tcPr>
          <w:p>
            <w:pPr>
              <w:jc w:val="center"/>
            </w:pPr>
            <w:r>
              <w:rPr>
                <w:rFonts w:ascii="Arial" w:cs="Arial" w:eastAsia="Arial" w:hAnsi="Arial"/>
                <w:b/>
                <w:bCs/>
                <w:color w:val="FFFFFF"/>
                <w:sz w:val="22"/>
                <w:szCs w:val="22"/>
              </w:rPr>
              <w:t xml:space="preserve">Schritt 3</w:t>
            </w:r>
          </w:p>
        </w:tc>
        <w:tc>
          <w:tcPr>
            <w:tcW w:type="dxa" w:w="8160"/>
            <w:tcBorders>
              <w:top w:val="single" w:color="CCCCCC" w:sz="1"/>
              <w:left w:val="single" w:color="CCCCCC" w:sz="1"/>
              <w:bottom w:val="single" w:color="CCCCCC" w:sz="1"/>
              <w:right w:val="single" w:color="CCCCCC" w:sz="1"/>
            </w:tcBorders>
            <w:shd w:fill="FFF2CC" w:val="clear"/>
            <w:tcMar>
              <w:top w:type="dxa" w:w="120"/>
              <w:left w:type="dxa" w:w="200"/>
              <w:bottom w:type="dxa" w:w="120"/>
              <w:right w:type="dxa" w:w="120"/>
            </w:tcMar>
          </w:tcPr>
          <w:p>
            <w:r>
              <w:rPr>
                <w:rFonts w:ascii="Arial" w:cs="Arial" w:eastAsia="Arial" w:hAnsi="Arial"/>
                <w:b/>
                <w:bCs/>
                <w:sz w:val="24"/>
                <w:szCs w:val="24"/>
              </w:rPr>
              <w:t xml:space="preserve">Was wünsche ich mir?</w:t>
            </w:r>
          </w:p>
          <w:p>
            <w:pPr>
              <w:spacing w:before="40"/>
            </w:pPr>
            <w:r>
              <w:rPr>
                <w:rFonts w:ascii="Arial" w:cs="Arial" w:eastAsia="Arial" w:hAnsi="Arial"/>
                <w:i/>
                <w:iCs/>
                <w:color w:val="555555"/>
                <w:sz w:val="20"/>
                <w:szCs w:val="20"/>
              </w:rPr>
              <w:t xml:space="preserve">Jede Person formuliert ihre Wünsche und Bedürfnisse – positiv und konkret.</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CellMar>
          <w:top w:type="dxa" w:w="60"/>
          <w:bottom w:type="dxa" w:w="60"/>
        </w:tblCellMar>
      </w:tblPr>
      <w:tblGrid>
        <w:gridCol w:w="1200"/>
        <w:gridCol w:w="8160"/>
      </w:tblGrid>
      <w:tr>
        <w:tc>
          <w:tcPr>
            <w:tcW w:type="dxa" w:w="1200"/>
            <w:tcBorders>
              <w:top w:val="single" w:color="CCCCCC" w:sz="1"/>
              <w:left w:val="single" w:color="CCCCCC" w:sz="1"/>
              <w:bottom w:val="single" w:color="CCCCCC" w:sz="1"/>
              <w:right w:val="single" w:color="CCCCCC" w:sz="1"/>
            </w:tcBorders>
            <w:shd w:fill="2E75B6" w:val="clear"/>
            <w:tcMar>
              <w:top w:type="dxa" w:w="120"/>
              <w:left w:type="dxa" w:w="120"/>
              <w:bottom w:type="dxa" w:w="120"/>
              <w:right w:type="dxa" w:w="120"/>
            </w:tcMar>
            <w:vAlign w:val="center"/>
          </w:tcPr>
          <w:p>
            <w:pPr>
              <w:jc w:val="center"/>
            </w:pPr>
            <w:r>
              <w:rPr>
                <w:rFonts w:ascii="Arial" w:cs="Arial" w:eastAsia="Arial" w:hAnsi="Arial"/>
                <w:b/>
                <w:bCs/>
                <w:color w:val="FFFFFF"/>
                <w:sz w:val="22"/>
                <w:szCs w:val="22"/>
              </w:rPr>
              <w:t xml:space="preserve">Schritt 4</w:t>
            </w:r>
          </w:p>
        </w:tc>
        <w:tc>
          <w:tcPr>
            <w:tcW w:type="dxa" w:w="8160"/>
            <w:tcBorders>
              <w:top w:val="single" w:color="CCCCCC" w:sz="1"/>
              <w:left w:val="single" w:color="CCCCCC" w:sz="1"/>
              <w:bottom w:val="single" w:color="CCCCCC" w:sz="1"/>
              <w:right w:val="single" w:color="CCCCCC" w:sz="1"/>
            </w:tcBorders>
            <w:shd w:fill="D6E8F5" w:val="clear"/>
            <w:tcMar>
              <w:top w:type="dxa" w:w="120"/>
              <w:left w:type="dxa" w:w="200"/>
              <w:bottom w:type="dxa" w:w="120"/>
              <w:right w:type="dxa" w:w="120"/>
            </w:tcMar>
          </w:tcPr>
          <w:p>
            <w:r>
              <w:rPr>
                <w:rFonts w:ascii="Arial" w:cs="Arial" w:eastAsia="Arial" w:hAnsi="Arial"/>
                <w:b/>
                <w:bCs/>
                <w:sz w:val="24"/>
                <w:szCs w:val="24"/>
              </w:rPr>
              <w:t xml:space="preserve">Welche Lösung finden wir?</w:t>
            </w:r>
          </w:p>
          <w:p>
            <w:pPr>
              <w:spacing w:before="40"/>
            </w:pPr>
            <w:r>
              <w:rPr>
                <w:rFonts w:ascii="Arial" w:cs="Arial" w:eastAsia="Arial" w:hAnsi="Arial"/>
                <w:i/>
                <w:iCs/>
                <w:color w:val="555555"/>
                <w:sz w:val="20"/>
                <w:szCs w:val="20"/>
              </w:rPr>
              <w:t xml:space="preserve">Gemeinsam wird eine Lösung erarbeitet, mit der alle Beteiligten einverstanden sind.</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CellMar>
          <w:top w:type="dxa" w:w="60"/>
          <w:bottom w:type="dxa" w:w="60"/>
        </w:tblCellMar>
      </w:tblPr>
      <w:tblGrid>
        <w:gridCol w:w="1200"/>
        <w:gridCol w:w="8160"/>
      </w:tblGrid>
      <w:tr>
        <w:tc>
          <w:tcPr>
            <w:tcW w:type="dxa" w:w="1200"/>
            <w:tcBorders>
              <w:top w:val="single" w:color="CCCCCC" w:sz="1"/>
              <w:left w:val="single" w:color="CCCCCC" w:sz="1"/>
              <w:bottom w:val="single" w:color="CCCCCC" w:sz="1"/>
              <w:right w:val="single" w:color="CCCCCC" w:sz="1"/>
            </w:tcBorders>
            <w:shd w:fill="2E75B6" w:val="clear"/>
            <w:tcMar>
              <w:top w:type="dxa" w:w="120"/>
              <w:left w:type="dxa" w:w="120"/>
              <w:bottom w:type="dxa" w:w="120"/>
              <w:right w:type="dxa" w:w="120"/>
            </w:tcMar>
            <w:vAlign w:val="center"/>
          </w:tcPr>
          <w:p>
            <w:pPr>
              <w:jc w:val="center"/>
            </w:pPr>
            <w:r>
              <w:rPr>
                <w:rFonts w:ascii="Arial" w:cs="Arial" w:eastAsia="Arial" w:hAnsi="Arial"/>
                <w:b/>
                <w:bCs/>
                <w:color w:val="FFFFFF"/>
                <w:sz w:val="22"/>
                <w:szCs w:val="22"/>
              </w:rPr>
              <w:t xml:space="preserve">Schritt 5</w:t>
            </w:r>
          </w:p>
        </w:tc>
        <w:tc>
          <w:tcPr>
            <w:tcW w:type="dxa" w:w="8160"/>
            <w:tcBorders>
              <w:top w:val="single" w:color="CCCCCC" w:sz="1"/>
              <w:left w:val="single" w:color="CCCCCC" w:sz="1"/>
              <w:bottom w:val="single" w:color="CCCCCC" w:sz="1"/>
              <w:right w:val="single" w:color="CCCCCC" w:sz="1"/>
            </w:tcBorders>
            <w:shd w:fill="EAE4F2" w:val="clear"/>
            <w:tcMar>
              <w:top w:type="dxa" w:w="120"/>
              <w:left w:type="dxa" w:w="200"/>
              <w:bottom w:type="dxa" w:w="120"/>
              <w:right w:type="dxa" w:w="120"/>
            </w:tcMar>
          </w:tcPr>
          <w:p>
            <w:r>
              <w:rPr>
                <w:rFonts w:ascii="Arial" w:cs="Arial" w:eastAsia="Arial" w:hAnsi="Arial"/>
                <w:b/>
                <w:bCs/>
                <w:sz w:val="24"/>
                <w:szCs w:val="24"/>
              </w:rPr>
              <w:t xml:space="preserve">Zeichen der Versöhnung (optional)</w:t>
            </w:r>
          </w:p>
          <w:p>
            <w:pPr>
              <w:spacing w:before="40"/>
            </w:pPr>
            <w:r>
              <w:rPr>
                <w:rFonts w:ascii="Arial" w:cs="Arial" w:eastAsia="Arial" w:hAnsi="Arial"/>
                <w:i/>
                <w:iCs/>
                <w:color w:val="555555"/>
                <w:sz w:val="20"/>
                <w:szCs w:val="20"/>
              </w:rPr>
              <w:t xml:space="preserve">Abschluss mit einem gemeinsamen Zeichen: Handschlag, High Five oder ein anderes vereinbartes Signal.</w:t>
            </w:r>
          </w:p>
        </w:tc>
      </w:tr>
    </w:tbl>
    <w:p>
      <w:pPr>
        <w:spacing w:after="60" w:before="60"/>
      </w:pPr>
      <w:r>
        <w:t xml:space="preserve"/>
      </w:r>
    </w:p>
    <w:p>
      <w:pPr>
        <w:pStyle w:val="Heading1"/>
        <w:spacing w:after="180" w:before="360"/>
      </w:pPr>
      <w:r>
        <w:rPr>
          <w:rFonts w:ascii="Arial" w:cs="Arial" w:eastAsia="Arial" w:hAnsi="Arial"/>
          <w:b/>
          <w:bCs/>
          <w:color w:val="2E75B6"/>
          <w:sz w:val="32"/>
          <w:szCs w:val="32"/>
        </w:rPr>
        <w:t xml:space="preserve">Gesprächsregeln</w:t>
      </w:r>
    </w:p>
    <w:p>
      <w:pPr>
        <w:spacing w:after="80" w:before="60"/>
      </w:pPr>
      <w:r>
        <w:rPr>
          <w:rFonts w:ascii="Arial" w:cs="Arial" w:eastAsia="Arial" w:hAnsi="Arial"/>
          <w:sz w:val="22"/>
          <w:szCs w:val="22"/>
        </w:rPr>
        <w:t xml:space="preserve">Damit die Methode funktioniert, gelten während der gesamten Unterhaltung folgende Regeln:</w:t>
      </w:r>
    </w:p>
    <w:p>
      <w:pPr>
        <w:spacing w:after="60" w:before="60"/>
      </w:pPr>
      <w:r>
        <w:t xml:space="preserve"/>
      </w:r>
    </w:p>
    <w:p>
      <w:pPr>
        <w:pStyle w:val="ListParagraph"/>
        <w:numPr>
          <w:ilvl w:val="0"/>
          <w:numId w:val="2"/>
        </w:numPr>
        <w:spacing w:after="40" w:before="40"/>
      </w:pPr>
      <w:r>
        <w:rPr>
          <w:rFonts w:ascii="Arial" w:cs="Arial" w:eastAsia="Arial" w:hAnsi="Arial"/>
          <w:sz w:val="22"/>
          <w:szCs w:val="22"/>
        </w:rPr>
        <w:t xml:space="preserve">Wir hören einander zu und lassen uns gegenseitig aussprechen.</w:t>
      </w:r>
    </w:p>
    <w:p>
      <w:pPr>
        <w:pStyle w:val="ListParagraph"/>
        <w:numPr>
          <w:ilvl w:val="0"/>
          <w:numId w:val="2"/>
        </w:numPr>
        <w:spacing w:after="40" w:before="40"/>
      </w:pPr>
      <w:r>
        <w:rPr>
          <w:rFonts w:ascii="Arial" w:cs="Arial" w:eastAsia="Arial" w:hAnsi="Arial"/>
          <w:sz w:val="22"/>
          <w:szCs w:val="22"/>
        </w:rPr>
        <w:t xml:space="preserve">Wir sprechen freundlich und respektvoll miteinander – Schimpfworte sind nicht erlaubt.</w:t>
      </w:r>
    </w:p>
    <w:p>
      <w:pPr>
        <w:pStyle w:val="ListParagraph"/>
        <w:numPr>
          <w:ilvl w:val="0"/>
          <w:numId w:val="2"/>
        </w:numPr>
        <w:spacing w:after="40" w:before="40"/>
      </w:pPr>
      <w:r>
        <w:rPr>
          <w:rFonts w:ascii="Arial" w:cs="Arial" w:eastAsia="Arial" w:hAnsi="Arial"/>
          <w:sz w:val="22"/>
          <w:szCs w:val="22"/>
        </w:rPr>
        <w:t xml:space="preserve">Es wird nicht über Personen gesprochen, die nicht anwesend sind.</w:t>
      </w:r>
    </w:p>
    <w:p>
      <w:pPr>
        <w:pStyle w:val="ListParagraph"/>
        <w:numPr>
          <w:ilvl w:val="0"/>
          <w:numId w:val="2"/>
        </w:numPr>
        <w:spacing w:after="40" w:before="40"/>
      </w:pPr>
      <w:r>
        <w:rPr>
          <w:rFonts w:ascii="Arial" w:cs="Arial" w:eastAsia="Arial" w:hAnsi="Arial"/>
          <w:sz w:val="22"/>
          <w:szCs w:val="22"/>
        </w:rPr>
        <w:t xml:space="preserve">Worte wie "immer" oder "nie" versuchen wir zu vermeiden, da sie verallgemeinern und Gespräche erschweren.</w:t>
      </w:r>
    </w:p>
    <w:p>
      <w:pPr>
        <w:spacing w:after="60" w:before="60"/>
      </w:pPr>
      <w:r>
        <w:t xml:space="preserve"/>
      </w:r>
    </w:p>
    <w:p>
      <w:pPr>
        <w:pStyle w:val="Heading1"/>
        <w:spacing w:after="180" w:before="360"/>
      </w:pPr>
      <w:r>
        <w:rPr>
          <w:rFonts w:ascii="Arial" w:cs="Arial" w:eastAsia="Arial" w:hAnsi="Arial"/>
          <w:b/>
          <w:bCs/>
          <w:color w:val="2E75B6"/>
          <w:sz w:val="32"/>
          <w:szCs w:val="32"/>
        </w:rPr>
        <w:t xml:space="preserve">Ich-Botschaften richtig formulieren</w:t>
      </w:r>
    </w:p>
    <w:p>
      <w:pPr>
        <w:spacing w:after="80" w:before="60"/>
      </w:pPr>
      <w:r>
        <w:rPr>
          <w:rFonts w:ascii="Arial" w:cs="Arial" w:eastAsia="Arial" w:hAnsi="Arial"/>
          <w:sz w:val="22"/>
          <w:szCs w:val="22"/>
        </w:rPr>
        <w:t xml:space="preserve">Ein zentrales Element der Friedensfüße sind Ich-Botschaften. Sie helfen, Gefühle und Bedürfnisse auszudrücken, ohne den anderen anzuklagen oder zu beschuldigen.</w:t>
      </w:r>
    </w:p>
    <w:p>
      <w:pPr>
        <w:spacing w:after="6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F4CCCC" w:val="clear"/>
            <w:tcMar>
              <w:top w:type="dxa" w:w="100"/>
              <w:left w:type="dxa" w:w="150"/>
              <w:bottom w:type="dxa" w:w="100"/>
              <w:right w:type="dxa" w:w="150"/>
            </w:tcMar>
          </w:tcPr>
          <w:p>
            <w:r>
              <w:rPr>
                <w:rFonts w:ascii="Arial" w:cs="Arial" w:eastAsia="Arial" w:hAnsi="Arial"/>
                <w:b/>
                <w:bCs/>
                <w:color w:val="CC0000"/>
                <w:sz w:val="22"/>
                <w:szCs w:val="22"/>
              </w:rPr>
              <w:t xml:space="preserve">❌ Du-Botschaft (ungünstig)</w:t>
            </w:r>
          </w:p>
          <w:p>
            <w:r>
              <w:rPr>
                <w:rFonts w:ascii="Arial" w:cs="Arial" w:eastAsia="Arial" w:hAnsi="Arial"/>
                <w:i/>
                <w:iCs/>
                <w:sz w:val="20"/>
                <w:szCs w:val="20"/>
              </w:rPr>
              <w:t xml:space="preserve">"Du hast mich immer geärgert!"</w:t>
            </w:r>
          </w:p>
        </w:tc>
        <w:tc>
          <w:tcPr>
            <w:tcW w:type="dxa" w:w="4680"/>
            <w:tcBorders>
              <w:top w:val="single" w:color="CCCCCC" w:sz="1"/>
              <w:left w:val="single" w:color="CCCCCC" w:sz="1"/>
              <w:bottom w:val="single" w:color="CCCCCC" w:sz="1"/>
              <w:right w:val="single" w:color="CCCCCC" w:sz="1"/>
            </w:tcBorders>
            <w:shd w:fill="E2F0D9" w:val="clear"/>
            <w:tcMar>
              <w:top w:type="dxa" w:w="100"/>
              <w:left w:type="dxa" w:w="150"/>
              <w:bottom w:type="dxa" w:w="100"/>
              <w:right w:type="dxa" w:w="150"/>
            </w:tcMar>
          </w:tcPr>
          <w:p>
            <w:r>
              <w:rPr>
                <w:rFonts w:ascii="Arial" w:cs="Arial" w:eastAsia="Arial" w:hAnsi="Arial"/>
                <w:b/>
                <w:bCs/>
                <w:color w:val="336600"/>
                <w:sz w:val="22"/>
                <w:szCs w:val="22"/>
              </w:rPr>
              <w:t xml:space="preserve">✅ Ich-Botschaft (günstig)</w:t>
            </w:r>
          </w:p>
          <w:p>
            <w:r>
              <w:rPr>
                <w:rFonts w:ascii="Arial" w:cs="Arial" w:eastAsia="Arial" w:hAnsi="Arial"/>
                <w:i/>
                <w:iCs/>
                <w:sz w:val="20"/>
                <w:szCs w:val="20"/>
              </w:rPr>
              <w:t xml:space="preserve">"Ich war traurig, als du mein Heft weggenommen hast."</w:t>
            </w:r>
          </w:p>
        </w:tc>
      </w:tr>
    </w:tbl>
    <w:p>
      <w:pPr>
        <w:spacing w:after="60" w:before="60"/>
      </w:pPr>
      <w:r>
        <w:t xml:space="preserve"/>
      </w:r>
    </w:p>
    <w:p>
      <w:pPr>
        <w:spacing w:after="80" w:before="60"/>
      </w:pPr>
      <w:r>
        <w:rPr>
          <w:rFonts w:ascii="Arial" w:cs="Arial" w:eastAsia="Arial" w:hAnsi="Arial"/>
          <w:sz w:val="22"/>
          <w:szCs w:val="22"/>
        </w:rPr>
        <w:t xml:space="preserve">Formel für eine Ich-Botschaft: "Ich fühle mich [Gefühl], wenn/weil [Situation]. Ich wünsche mir, dass [konkreter Wunsch]."</w:t>
      </w:r>
    </w:p>
    <w:p>
      <w:pPr>
        <w:spacing w:after="60" w:before="60"/>
      </w:pPr>
      <w:r>
        <w:t xml:space="preserve"/>
      </w:r>
    </w:p>
    <w:p>
      <w:pPr>
        <w:pStyle w:val="Heading1"/>
        <w:spacing w:after="180" w:before="360"/>
      </w:pPr>
      <w:r>
        <w:rPr>
          <w:rFonts w:ascii="Arial" w:cs="Arial" w:eastAsia="Arial" w:hAnsi="Arial"/>
          <w:b/>
          <w:bCs/>
          <w:color w:val="2E75B6"/>
          <w:sz w:val="32"/>
          <w:szCs w:val="32"/>
        </w:rPr>
        <w:t xml:space="preserve">Einführung und Einüben der Methode</w:t>
      </w:r>
    </w:p>
    <w:p>
      <w:pPr>
        <w:spacing w:after="80" w:before="60"/>
      </w:pPr>
      <w:r>
        <w:rPr>
          <w:rFonts w:ascii="Arial" w:cs="Arial" w:eastAsia="Arial" w:hAnsi="Arial"/>
          <w:sz w:val="22"/>
          <w:szCs w:val="22"/>
        </w:rPr>
        <w:t xml:space="preserve">Damit die Schülerinnen und Schüler die Methode eigenständig anwenden können, braucht es eine gezielte Einübungsphase. Folgende Schritte haben sich bewährt:</w:t>
      </w:r>
    </w:p>
    <w:p>
      <w:pPr>
        <w:spacing w:after="60" w:before="60"/>
      </w:pPr>
      <w:r>
        <w:t xml:space="preserve"/>
      </w:r>
    </w:p>
    <w:p>
      <w:pPr>
        <w:pStyle w:val="ListParagraph"/>
        <w:numPr>
          <w:ilvl w:val="0"/>
          <w:numId w:val="2"/>
        </w:numPr>
        <w:spacing w:after="40" w:before="40"/>
      </w:pPr>
      <w:r>
        <w:rPr>
          <w:rFonts w:ascii="Arial" w:cs="Arial" w:eastAsia="Arial" w:hAnsi="Arial"/>
          <w:sz w:val="22"/>
          <w:szCs w:val="22"/>
        </w:rPr>
        <w:t xml:space="preserve">Erklärung und Vorstellen der Methode im Klassenverband (z. B. durch Rollenspiele der Lehrkraft)</w:t>
      </w:r>
    </w:p>
    <w:p>
      <w:pPr>
        <w:pStyle w:val="ListParagraph"/>
        <w:numPr>
          <w:ilvl w:val="0"/>
          <w:numId w:val="2"/>
        </w:numPr>
        <w:spacing w:after="40" w:before="40"/>
      </w:pPr>
      <w:r>
        <w:rPr>
          <w:rFonts w:ascii="Arial" w:cs="Arial" w:eastAsia="Arial" w:hAnsi="Arial"/>
          <w:sz w:val="22"/>
          <w:szCs w:val="22"/>
        </w:rPr>
        <w:t xml:space="preserve">Gemeinsames Üben anhand von fiktiven, alltäglichen Konfliktsituationen</w:t>
      </w:r>
    </w:p>
    <w:p>
      <w:pPr>
        <w:pStyle w:val="ListParagraph"/>
        <w:numPr>
          <w:ilvl w:val="0"/>
          <w:numId w:val="2"/>
        </w:numPr>
        <w:spacing w:after="40" w:before="40"/>
      </w:pPr>
      <w:r>
        <w:rPr>
          <w:rFonts w:ascii="Arial" w:cs="Arial" w:eastAsia="Arial" w:hAnsi="Arial"/>
          <w:sz w:val="22"/>
          <w:szCs w:val="22"/>
        </w:rPr>
        <w:t xml:space="preserve">Schülerinnen und Schüler üben in Paaren – zunächst mit Begleitung der Lehrkraft</w:t>
      </w:r>
    </w:p>
    <w:p>
      <w:pPr>
        <w:pStyle w:val="ListParagraph"/>
        <w:numPr>
          <w:ilvl w:val="0"/>
          <w:numId w:val="2"/>
        </w:numPr>
        <w:spacing w:after="40" w:before="40"/>
      </w:pPr>
      <w:r>
        <w:rPr>
          <w:rFonts w:ascii="Arial" w:cs="Arial" w:eastAsia="Arial" w:hAnsi="Arial"/>
          <w:sz w:val="22"/>
          <w:szCs w:val="22"/>
        </w:rPr>
        <w:t xml:space="preserve">Schrittweise Übergabe der Verantwortung an die Kinder</w:t>
      </w:r>
    </w:p>
    <w:p>
      <w:pPr>
        <w:pStyle w:val="ListParagraph"/>
        <w:numPr>
          <w:ilvl w:val="0"/>
          <w:numId w:val="2"/>
        </w:numPr>
        <w:spacing w:after="40" w:before="40"/>
      </w:pPr>
      <w:r>
        <w:rPr>
          <w:rFonts w:ascii="Arial" w:cs="Arial" w:eastAsia="Arial" w:hAnsi="Arial"/>
          <w:sz w:val="22"/>
          <w:szCs w:val="22"/>
        </w:rPr>
        <w:t xml:space="preserve">Reflexion nach ersten eigenständigen Durchläufen im Plenum</w:t>
      </w:r>
    </w:p>
    <w:p>
      <w:pPr>
        <w:spacing w:after="60" w:before="60"/>
      </w:pPr>
      <w:r>
        <w:t xml:space="preserve"/>
      </w:r>
    </w:p>
    <w:p>
      <w:pPr>
        <w:spacing w:after="80" w:before="60"/>
      </w:pPr>
      <w:r>
        <w:rPr>
          <w:rFonts w:ascii="Arial" w:cs="Arial" w:eastAsia="Arial" w:hAnsi="Arial"/>
          <w:sz w:val="22"/>
          <w:szCs w:val="22"/>
        </w:rPr>
        <w:t xml:space="preserve">Empfohlen wird, die Methode regelmäßig zu wiederholen – besonders zu Beginn des Schuljahres und nach langen Schulpausen.</w:t>
      </w:r>
    </w:p>
    <w:p>
      <w:pPr>
        <w:spacing w:after="60" w:before="60"/>
      </w:pPr>
      <w:r>
        <w:t xml:space="preserve"/>
      </w:r>
    </w:p>
    <w:p>
      <w:pPr>
        <w:pStyle w:val="Heading1"/>
        <w:spacing w:after="180" w:before="360"/>
      </w:pPr>
      <w:r>
        <w:rPr>
          <w:rFonts w:ascii="Arial" w:cs="Arial" w:eastAsia="Arial" w:hAnsi="Arial"/>
          <w:b/>
          <w:bCs/>
          <w:color w:val="2E75B6"/>
          <w:sz w:val="32"/>
          <w:szCs w:val="32"/>
        </w:rPr>
        <w:t xml:space="preserve">Wann eignet sich die Methode?</w:t>
      </w:r>
    </w:p>
    <w:p>
      <w:pPr>
        <w:spacing w:after="80" w:before="60"/>
      </w:pPr>
      <w:r>
        <w:rPr>
          <w:rFonts w:ascii="Arial" w:cs="Arial" w:eastAsia="Arial" w:hAnsi="Arial"/>
          <w:sz w:val="22"/>
          <w:szCs w:val="22"/>
        </w:rPr>
        <w:t xml:space="preserve">Die Friedensfüße sind besonders geeignet bei:</w:t>
      </w:r>
    </w:p>
    <w:p>
      <w:pPr>
        <w:spacing w:after="60" w:before="60"/>
      </w:pPr>
      <w:r>
        <w:t xml:space="preserve"/>
      </w:r>
    </w:p>
    <w:p>
      <w:pPr>
        <w:pStyle w:val="ListParagraph"/>
        <w:numPr>
          <w:ilvl w:val="0"/>
          <w:numId w:val="2"/>
        </w:numPr>
        <w:spacing w:after="40" w:before="40"/>
      </w:pPr>
      <w:r>
        <w:rPr>
          <w:rFonts w:ascii="Arial" w:cs="Arial" w:eastAsia="Arial" w:hAnsi="Arial"/>
          <w:sz w:val="22"/>
          <w:szCs w:val="22"/>
        </w:rPr>
        <w:t xml:space="preserve">Streit um Gegenstände oder Spielzeug</w:t>
      </w:r>
    </w:p>
    <w:p>
      <w:pPr>
        <w:pStyle w:val="ListParagraph"/>
        <w:numPr>
          <w:ilvl w:val="0"/>
          <w:numId w:val="2"/>
        </w:numPr>
        <w:spacing w:after="40" w:before="40"/>
      </w:pPr>
      <w:r>
        <w:rPr>
          <w:rFonts w:ascii="Arial" w:cs="Arial" w:eastAsia="Arial" w:hAnsi="Arial"/>
          <w:sz w:val="22"/>
          <w:szCs w:val="22"/>
        </w:rPr>
        <w:t xml:space="preserve">Ausgrenzung oder Beleidigung auf dem Schulhof</w:t>
      </w:r>
    </w:p>
    <w:p>
      <w:pPr>
        <w:pStyle w:val="ListParagraph"/>
        <w:numPr>
          <w:ilvl w:val="0"/>
          <w:numId w:val="2"/>
        </w:numPr>
        <w:spacing w:after="40" w:before="40"/>
      </w:pPr>
      <w:r>
        <w:rPr>
          <w:rFonts w:ascii="Arial" w:cs="Arial" w:eastAsia="Arial" w:hAnsi="Arial"/>
          <w:sz w:val="22"/>
          <w:szCs w:val="22"/>
        </w:rPr>
        <w:t xml:space="preserve">Missverständnissen zwischen Mitschülerinnen und Mitschülern</w:t>
      </w:r>
    </w:p>
    <w:p>
      <w:pPr>
        <w:pStyle w:val="ListParagraph"/>
        <w:numPr>
          <w:ilvl w:val="0"/>
          <w:numId w:val="2"/>
        </w:numPr>
        <w:spacing w:after="40" w:before="40"/>
      </w:pPr>
      <w:r>
        <w:rPr>
          <w:rFonts w:ascii="Arial" w:cs="Arial" w:eastAsia="Arial" w:hAnsi="Arial"/>
          <w:sz w:val="22"/>
          <w:szCs w:val="22"/>
        </w:rPr>
        <w:t xml:space="preserve">Kleineren körperlichen Auseinandersetzungen ohne Verletzungsfolgen</w:t>
      </w:r>
    </w:p>
    <w:p>
      <w:pPr>
        <w:spacing w:after="60" w:before="60"/>
      </w:pPr>
      <w:r>
        <w:t xml:space="preserve"/>
      </w:r>
    </w:p>
    <w:p>
      <w:pPr>
        <w:spacing w:after="80" w:before="60"/>
      </w:pPr>
      <w:r>
        <w:rPr>
          <w:rFonts w:ascii="Arial" w:cs="Arial" w:eastAsia="Arial" w:hAnsi="Arial"/>
          <w:sz w:val="22"/>
          <w:szCs w:val="22"/>
        </w:rPr>
        <w:t xml:space="preserve">Nicht geeignet ist die Methode bei schwerwiegenden Konflikten mit körperlicher Gewalt, Mobbing über längere Zeit oder wenn eine der beteiligten Personen keine Bereitschaft zur Teilnahme zeigt. In diesen Fällen sollte eine Erwachsene Person hinzugezogen werden.</w:t>
      </w:r>
    </w:p>
    <w:p>
      <w:pPr>
        <w:spacing w:after="60" w:before="60"/>
      </w:pPr>
      <w:r>
        <w:t xml:space="preserve"/>
      </w:r>
    </w:p>
    <w:p>
      <w:pPr>
        <w:pBdr>
          <w:top w:val="single" w:color="2E75B6" w:sz="6" w:space="1"/>
        </w:pBdr>
        <w:spacing w:after="0" w:before="200"/>
        <w:jc w:val="center"/>
      </w:pPr>
      <w:r>
        <w:rPr>
          <w:rFonts w:ascii="Arial" w:cs="Arial" w:eastAsia="Arial" w:hAnsi="Arial"/>
          <w:i/>
          <w:iCs/>
          <w:color w:val="888888"/>
          <w:sz w:val="18"/>
          <w:szCs w:val="18"/>
        </w:rPr>
        <w:t xml:space="preserve">Methode: Friedensfüße / Friedensbrücke  –  Ergänzt und strukturiert für den schulischen Einsatz</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80" w:before="360"/>
      <w:outlineLvl w:val="0"/>
    </w:pPr>
    <w:rPr>
      <w:rFonts w:ascii="Arial" w:cs="Arial" w:eastAsia="Arial" w:hAnsi="Arial"/>
      <w:b/>
      <w:bCs/>
      <w:color w:val="2E75B6"/>
      <w:sz w:val="32"/>
      <w:szCs w:val="32"/>
    </w:rPr>
  </w:style>
  <w:style w:type="paragraph" w:styleId="Heading2">
    <w:name w:val="Heading 2"/>
    <w:basedOn w:val="Normal"/>
    <w:next w:val="Normal"/>
    <w:qFormat/>
    <w:pPr>
      <w:spacing w:after="120" w:before="280"/>
      <w:outlineLvl w:val="1"/>
    </w:pPr>
    <w:rPr>
      <w:rFonts w:ascii="Arial" w:cs="Arial" w:eastAsia="Arial" w:hAnsi="Arial"/>
      <w:b/>
      <w:bCs/>
      <w:color w:val="444444"/>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2026-04-25T07:44:29.083Z</dcterms:created>
  <dcterms:modified xsi:type="dcterms:W3CDTF">2026-04-25T07:44:29.084Z</dcterms:modified>
</cp:coreProperties>
</file>

<file path=docProps/custom.xml><?xml version="1.0" encoding="utf-8"?>
<Properties xmlns="http://schemas.openxmlformats.org/officeDocument/2006/custom-properties" xmlns:vt="http://schemas.openxmlformats.org/officeDocument/2006/docPropsVTypes"/>
</file>